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36B5F" w14:textId="45B47385" w:rsidR="002766F7" w:rsidRPr="00D233A3" w:rsidRDefault="002766F7" w:rsidP="002766F7">
      <w:pPr>
        <w:autoSpaceDE w:val="0"/>
        <w:autoSpaceDN w:val="0"/>
        <w:adjustRightInd w:val="0"/>
        <w:jc w:val="both"/>
        <w:outlineLvl w:val="0"/>
        <w:rPr>
          <w:rFonts w:ascii="Cambria" w:hAnsi="Cambria"/>
        </w:rPr>
      </w:pPr>
      <w:proofErr w:type="spellStart"/>
      <w:r w:rsidRPr="001A75FA">
        <w:rPr>
          <w:rFonts w:ascii="Cambria" w:hAnsi="Cambria"/>
          <w:lang w:val="ru-RU"/>
        </w:rPr>
        <w:t>изх</w:t>
      </w:r>
      <w:proofErr w:type="spellEnd"/>
      <w:r w:rsidRPr="001A75FA">
        <w:rPr>
          <w:rFonts w:ascii="Cambria" w:hAnsi="Cambria"/>
          <w:lang w:val="ru-RU"/>
        </w:rPr>
        <w:t xml:space="preserve">. № </w:t>
      </w:r>
      <w:r>
        <w:rPr>
          <w:rFonts w:ascii="Cambria" w:hAnsi="Cambria"/>
        </w:rPr>
        <w:t>252</w:t>
      </w:r>
      <w:r w:rsidRPr="001A75FA">
        <w:rPr>
          <w:rFonts w:ascii="Cambria" w:hAnsi="Cambria"/>
          <w:lang w:val="en-US"/>
        </w:rPr>
        <w:t>/</w:t>
      </w:r>
      <w:r>
        <w:rPr>
          <w:rFonts w:ascii="Cambria" w:hAnsi="Cambria"/>
        </w:rPr>
        <w:t>19</w:t>
      </w:r>
      <w:r w:rsidRPr="001A75FA">
        <w:rPr>
          <w:rFonts w:ascii="Cambria" w:hAnsi="Cambria"/>
        </w:rPr>
        <w:t>.</w:t>
      </w:r>
      <w:r>
        <w:rPr>
          <w:rFonts w:ascii="Cambria" w:hAnsi="Cambria"/>
        </w:rPr>
        <w:t>11</w:t>
      </w:r>
      <w:r w:rsidRPr="001A75FA">
        <w:rPr>
          <w:rFonts w:ascii="Cambria" w:hAnsi="Cambria"/>
        </w:rPr>
        <w:t>.20</w:t>
      </w:r>
      <w:r w:rsidRPr="001A75FA">
        <w:rPr>
          <w:rFonts w:ascii="Cambria" w:hAnsi="Cambria"/>
          <w:lang w:val="en-US"/>
        </w:rPr>
        <w:t>2</w:t>
      </w:r>
      <w:r>
        <w:rPr>
          <w:rFonts w:ascii="Cambria" w:hAnsi="Cambria"/>
          <w:lang w:val="en-US"/>
        </w:rPr>
        <w:t>5</w:t>
      </w:r>
      <w:r w:rsidRPr="001A75FA">
        <w:rPr>
          <w:rFonts w:ascii="Cambria" w:hAnsi="Cambria"/>
        </w:rPr>
        <w:t xml:space="preserve"> </w:t>
      </w:r>
      <w:r w:rsidRPr="001A75FA">
        <w:rPr>
          <w:rFonts w:ascii="Cambria" w:hAnsi="Cambria"/>
          <w:lang w:val="ru-RU"/>
        </w:rPr>
        <w:t>г.</w:t>
      </w:r>
    </w:p>
    <w:p w14:paraId="549F0E84" w14:textId="77777777" w:rsidR="002766F7" w:rsidRDefault="002766F7" w:rsidP="007105C9">
      <w:pPr>
        <w:jc w:val="both"/>
        <w:rPr>
          <w:rFonts w:cstheme="minorHAnsi"/>
          <w:sz w:val="24"/>
          <w:szCs w:val="24"/>
        </w:rPr>
      </w:pPr>
    </w:p>
    <w:p w14:paraId="6458EF7F" w14:textId="2B41D913" w:rsidR="009F4F70" w:rsidRPr="00AE6CBE" w:rsidRDefault="004B69B5" w:rsidP="002766F7">
      <w:pPr>
        <w:ind w:firstLine="708"/>
        <w:jc w:val="both"/>
        <w:rPr>
          <w:rFonts w:cstheme="minorHAnsi"/>
          <w:sz w:val="24"/>
          <w:szCs w:val="24"/>
        </w:rPr>
      </w:pPr>
      <w:r w:rsidRPr="00AE6CBE">
        <w:rPr>
          <w:rFonts w:cstheme="minorHAnsi"/>
          <w:sz w:val="24"/>
          <w:szCs w:val="24"/>
        </w:rPr>
        <w:t xml:space="preserve">Уважаеми колеги, </w:t>
      </w:r>
    </w:p>
    <w:p w14:paraId="42E8D0D9" w14:textId="77777777" w:rsidR="004B69B5" w:rsidRPr="00AE6CBE" w:rsidRDefault="004B69B5" w:rsidP="007105C9">
      <w:pPr>
        <w:jc w:val="both"/>
        <w:rPr>
          <w:rFonts w:cstheme="minorHAnsi"/>
          <w:sz w:val="24"/>
          <w:szCs w:val="24"/>
        </w:rPr>
      </w:pPr>
      <w:r w:rsidRPr="00AE6CBE">
        <w:rPr>
          <w:rFonts w:cstheme="minorHAnsi"/>
          <w:sz w:val="24"/>
          <w:szCs w:val="24"/>
        </w:rPr>
        <w:t>Във връзка с достигнала до БФС информация за проверки от РЗОК на аптеки, които са изпълнявали електронни предписания на пациенти настанени в хосписи или други социални заведения, искам да ви уведомя, че:</w:t>
      </w:r>
    </w:p>
    <w:p w14:paraId="78A0FC61" w14:textId="77777777" w:rsidR="000A18E6" w:rsidRPr="00AE6CBE" w:rsidRDefault="004B69B5" w:rsidP="007105C9">
      <w:pPr>
        <w:pStyle w:val="ListParagraph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AE6CBE">
        <w:rPr>
          <w:rFonts w:cstheme="minorHAnsi"/>
          <w:sz w:val="24"/>
          <w:szCs w:val="24"/>
        </w:rPr>
        <w:t xml:space="preserve">Редът и начинът на извършване на проверките е договорен между </w:t>
      </w:r>
      <w:r w:rsidR="000A18E6" w:rsidRPr="00AE6CBE">
        <w:rPr>
          <w:rFonts w:cstheme="minorHAnsi"/>
          <w:sz w:val="24"/>
          <w:szCs w:val="24"/>
        </w:rPr>
        <w:t>представителите от БФС и НЗОК по чл.45, ал.17 от Закона за здравното осигуряване (ЗЗО).</w:t>
      </w:r>
    </w:p>
    <w:p w14:paraId="52FF167D" w14:textId="77777777" w:rsidR="004B69B5" w:rsidRPr="00AE6CBE" w:rsidRDefault="007105C9" w:rsidP="007105C9">
      <w:pPr>
        <w:pStyle w:val="ListParagraph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Всички указания </w:t>
      </w:r>
      <w:r w:rsidR="000A18E6" w:rsidRPr="00AE6CBE">
        <w:rPr>
          <w:rFonts w:cstheme="minorHAnsi"/>
          <w:sz w:val="24"/>
          <w:szCs w:val="24"/>
        </w:rPr>
        <w:t>и изисквания по тълкуването и прилагането на Условия и ред към договорните партньори (аптеките), както и към РЗОК, също се договарят.</w:t>
      </w:r>
      <w:r w:rsidR="004B69B5" w:rsidRPr="00AE6CBE">
        <w:rPr>
          <w:rFonts w:cstheme="minorHAnsi"/>
          <w:sz w:val="24"/>
          <w:szCs w:val="24"/>
        </w:rPr>
        <w:t xml:space="preserve">  </w:t>
      </w:r>
    </w:p>
    <w:p w14:paraId="1F0E9FFD" w14:textId="77777777" w:rsidR="000A18E6" w:rsidRPr="00AE6CBE" w:rsidRDefault="000A18E6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b/>
          <w:bCs/>
          <w:i/>
          <w:color w:val="000000"/>
          <w:sz w:val="24"/>
          <w:szCs w:val="24"/>
          <w:lang w:eastAsia="bg-BG"/>
        </w:rPr>
        <w:t>Чл. 3</w:t>
      </w: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. Представителите на НЗОК и на БФС, определени по реда на </w:t>
      </w:r>
      <w:hyperlink r:id="rId7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45, ал. 17 от ЗЗО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, издават съвместно всички указания и изисквания по тълкуването и прилагането на Условията и реда към търговците на дребно на лекарствени продукти и към РЗОК.</w:t>
      </w:r>
    </w:p>
    <w:p w14:paraId="0F1C79F1" w14:textId="77777777" w:rsidR="000A18E6" w:rsidRPr="00AE6CBE" w:rsidRDefault="000A18E6" w:rsidP="007105C9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bg-BG"/>
        </w:rPr>
      </w:pPr>
    </w:p>
    <w:p w14:paraId="527EBB89" w14:textId="77777777" w:rsidR="000A18E6" w:rsidRPr="00AE6CBE" w:rsidRDefault="000A18E6" w:rsidP="007105C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color w:val="000000"/>
          <w:sz w:val="24"/>
          <w:szCs w:val="24"/>
          <w:lang w:eastAsia="bg-BG"/>
        </w:rPr>
        <w:t xml:space="preserve">Документацията, относима към проверките, е подробно изброена в </w:t>
      </w:r>
      <w:r w:rsidR="00676184" w:rsidRPr="00AE6CBE">
        <w:rPr>
          <w:rFonts w:eastAsia="Times New Roman" w:cstheme="minorHAnsi"/>
          <w:color w:val="000000"/>
          <w:sz w:val="24"/>
          <w:szCs w:val="24"/>
          <w:lang w:eastAsia="bg-BG"/>
        </w:rPr>
        <w:t>чл.24, ал.1</w:t>
      </w:r>
      <w:r w:rsidR="003721BB" w:rsidRPr="00AE6CBE">
        <w:rPr>
          <w:rFonts w:eastAsia="Times New Roman" w:cstheme="minorHAnsi"/>
          <w:color w:val="000000"/>
          <w:sz w:val="24"/>
          <w:szCs w:val="24"/>
          <w:lang w:eastAsia="bg-BG"/>
        </w:rPr>
        <w:t xml:space="preserve"> и чл.42</w:t>
      </w:r>
      <w:r w:rsidR="00676184" w:rsidRPr="00AE6CBE">
        <w:rPr>
          <w:rFonts w:eastAsia="Times New Roman" w:cstheme="minorHAnsi"/>
          <w:color w:val="000000"/>
          <w:sz w:val="24"/>
          <w:szCs w:val="24"/>
          <w:lang w:eastAsia="bg-BG"/>
        </w:rPr>
        <w:t xml:space="preserve"> от Условия и ред</w:t>
      </w:r>
    </w:p>
    <w:p w14:paraId="62ED5E52" w14:textId="77777777" w:rsidR="00676184" w:rsidRPr="00AE6CBE" w:rsidRDefault="00676184" w:rsidP="007105C9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bg-BG"/>
        </w:rPr>
      </w:pPr>
    </w:p>
    <w:p w14:paraId="47484AAD" w14:textId="77777777" w:rsidR="00676184" w:rsidRPr="00AE6CBE" w:rsidRDefault="00676184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b/>
          <w:bCs/>
          <w:i/>
          <w:color w:val="000000"/>
          <w:sz w:val="24"/>
          <w:szCs w:val="24"/>
          <w:lang w:eastAsia="bg-BG"/>
        </w:rPr>
        <w:t>Чл. 24</w:t>
      </w: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. (1) Изпълнителят се задължава да:</w:t>
      </w:r>
    </w:p>
    <w:p w14:paraId="3B65B55A" w14:textId="77777777" w:rsidR="00676184" w:rsidRPr="00AE6CBE" w:rsidRDefault="00676184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8. оказва съдействие на контролните органи на НЗОК/РЗОК, като им предоставя: </w:t>
      </w:r>
    </w:p>
    <w:p w14:paraId="47EB03C1" w14:textId="77777777" w:rsidR="00676184" w:rsidRPr="00AE6CBE" w:rsidRDefault="00676184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а) (доп. – ДВ, бр. 28 от 2025 г., в сила от 1.04.2025 г.) документацията, относима към снабдяването на изпълнителя от търговците на едро с конкретни ЛП и към отпускането им на ЗОЛ в изпълнение на договора с НЗОК (фактури и други счетоводни документи за доставка; кредитни известия; фискални бонове);</w:t>
      </w:r>
    </w:p>
    <w:p w14:paraId="1DFBD696" w14:textId="77777777" w:rsidR="00676184" w:rsidRPr="00AE6CBE" w:rsidRDefault="00676184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б) извлечение (отчет за НЗОК) от паметта на фискалното устройство в аптеката за съответен период от време съобразно целта на проверката; </w:t>
      </w:r>
    </w:p>
    <w:p w14:paraId="6163F94E" w14:textId="77777777" w:rsidR="00676184" w:rsidRPr="00AE6CBE" w:rsidRDefault="00676184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в) достъп до всички помещения на аптеката, в които се съхраняват и/или отпускат ЛП, МИ и ДХСМЦ;</w:t>
      </w:r>
    </w:p>
    <w:p w14:paraId="536003BF" w14:textId="77777777" w:rsidR="00676184" w:rsidRPr="00AE6CBE" w:rsidRDefault="00676184" w:rsidP="007105C9">
      <w:pPr>
        <w:spacing w:after="0" w:line="240" w:lineRule="auto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</w:p>
    <w:p w14:paraId="257C8B22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b/>
          <w:bCs/>
          <w:i/>
          <w:color w:val="000000"/>
          <w:sz w:val="24"/>
          <w:szCs w:val="24"/>
          <w:lang w:eastAsia="bg-BG"/>
        </w:rPr>
        <w:t>Чл. 42</w:t>
      </w: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. (1) Лицата по </w:t>
      </w:r>
      <w:hyperlink r:id="rId8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41, ал. 1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 извършват:</w:t>
      </w:r>
    </w:p>
    <w:p w14:paraId="35F25B8A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1. контрол върху декларираните обстоятелства при сключване на договора;</w:t>
      </w:r>
    </w:p>
    <w:p w14:paraId="2DAE7BD9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2. непосредствен контрол по изпълнението на договора;</w:t>
      </w:r>
    </w:p>
    <w:p w14:paraId="19D20EF3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3. проверки по приход и разход на конкретни ЛП, МИ и ДХСМЦ в съответствие с предмета на договора;</w:t>
      </w:r>
    </w:p>
    <w:p w14:paraId="2A942EF6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4. проверки по повод постъпили жалби от ЗОЛ;</w:t>
      </w:r>
    </w:p>
    <w:p w14:paraId="11DA4D11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5. проверка на отчетните документи на изпълнителя, свързани с изпълнението на договора;</w:t>
      </w:r>
    </w:p>
    <w:p w14:paraId="7ECB3367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6. контрол върху съответната част от стойността на лекарствените продукти, заплащана съответно от възложителя и от ЗОЛ;</w:t>
      </w:r>
    </w:p>
    <w:p w14:paraId="547FF964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7. контрол по изпълнението на </w:t>
      </w:r>
      <w:hyperlink r:id="rId9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24, ал. 1, т. 1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;</w:t>
      </w:r>
    </w:p>
    <w:p w14:paraId="4C8F5EA6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8. контрол по изпълнението на методиката за заплащане по </w:t>
      </w:r>
      <w:hyperlink r:id="rId10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45, ал. 17, т. 4б от ЗЗО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.</w:t>
      </w:r>
    </w:p>
    <w:p w14:paraId="332EE0AB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highlight w:val="yellow"/>
          <w:lang w:eastAsia="bg-BG"/>
        </w:rPr>
        <w:lastRenderedPageBreak/>
        <w:t>(2) Извършването на контролната дейност се осъществява по начин, който не затруднява дейността на изпълнителя.</w:t>
      </w:r>
    </w:p>
    <w:p w14:paraId="286DDC36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(3) Изпълнителят е длъжен да осигури достъп на лицата по </w:t>
      </w:r>
      <w:hyperlink r:id="rId11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41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 при изпълнение на служебните им задължения до всички помещения на аптеката, в които се съхраняват и/или отпускат ЛП, МИ и ДХСМЦ, и до всички ЛП, МИ и ДХСМЦ, предмет на договора.</w:t>
      </w:r>
    </w:p>
    <w:p w14:paraId="19A5C029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(4) Изпълнителят е длъжен да оказва съдействие на лицата по </w:t>
      </w:r>
      <w:hyperlink r:id="rId12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41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 при изпълнение на служебните им задължения.</w:t>
      </w:r>
    </w:p>
    <w:p w14:paraId="06C9B5BF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(5) Лицата по </w:t>
      </w:r>
      <w:hyperlink r:id="rId13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41, ал. 1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 имат право на достъп до:</w:t>
      </w:r>
    </w:p>
    <w:p w14:paraId="034E137E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а) документацията, относима към снабдяването на изпълнителя от търговците на едро с конкретни ЛП, МИ и ДХСМЦ и към отпускането им на ЗОЛ в изпълнение на договора (фактури за доставка; кредитни известия; фискални бонове; изпълнени електронни предписания);</w:t>
      </w:r>
    </w:p>
    <w:p w14:paraId="654E779A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б) извлечение (отчет за НЗОК) от паметта на фискалното устройство в аптеката за съответен период от време съобразно целта на проверката и техническата възможност на фискалното устройство;</w:t>
      </w:r>
    </w:p>
    <w:p w14:paraId="0E4F3CF2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в) всички помещения на аптеката, в които се съхраняват и/или отпускат ЛП, МИ и ДХСМЦ, и до всички ЛП, МИ и ДХСМЦ, предмет на договора;</w:t>
      </w:r>
    </w:p>
    <w:p w14:paraId="10E1CCE9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г) трудовите договори на работещия в аптеката персонал;</w:t>
      </w:r>
    </w:p>
    <w:p w14:paraId="417EB493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д) всички записи, свързани с изпълнението на този договор (доставката и отпускането на ЛП, МИ и ДХСМЦ, въведени в аптечния софтуер).</w:t>
      </w:r>
    </w:p>
    <w:p w14:paraId="34E25281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(6) Изпълнителят съхранява в аптеката и ги предоставя при поискване на лицата по </w:t>
      </w:r>
      <w:hyperlink r:id="rId14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41, ал. 1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:</w:t>
      </w:r>
    </w:p>
    <w:p w14:paraId="6983F64D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1. данните от изпълнените електронни предписания за последната една година, считано от датата на извършване на проверката;</w:t>
      </w:r>
    </w:p>
    <w:p w14:paraId="068CE734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2. отчетната документация по този договор, фискални бонове, както и фактурите за доставка;</w:t>
      </w:r>
    </w:p>
    <w:p w14:paraId="668E79B3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>3. в случай че посочената документация по т. 2 не е налична в аптеката, същата се предоставя в срок до три работни дни.</w:t>
      </w:r>
    </w:p>
    <w:p w14:paraId="02DFB0A2" w14:textId="77777777" w:rsidR="003721BB" w:rsidRPr="00AE6CBE" w:rsidRDefault="003721BB" w:rsidP="007105C9">
      <w:pPr>
        <w:spacing w:after="0" w:line="240" w:lineRule="auto"/>
        <w:ind w:firstLine="284"/>
        <w:jc w:val="both"/>
        <w:rPr>
          <w:rFonts w:eastAsia="Times New Roman" w:cstheme="minorHAnsi"/>
          <w:i/>
          <w:color w:val="000000"/>
          <w:sz w:val="24"/>
          <w:szCs w:val="24"/>
          <w:lang w:eastAsia="bg-BG"/>
        </w:rPr>
      </w:pPr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(7) Лицата по </w:t>
      </w:r>
      <w:hyperlink r:id="rId15" w:history="1">
        <w:r w:rsidRPr="00AE6CBE">
          <w:rPr>
            <w:rFonts w:eastAsia="Times New Roman" w:cstheme="minorHAnsi"/>
            <w:i/>
            <w:color w:val="000000"/>
            <w:sz w:val="24"/>
            <w:szCs w:val="24"/>
            <w:lang w:eastAsia="bg-BG"/>
          </w:rPr>
          <w:t>чл. 41, ал. 1</w:t>
        </w:r>
      </w:hyperlink>
      <w:r w:rsidRPr="00AE6CBE">
        <w:rPr>
          <w:rFonts w:eastAsia="Times New Roman" w:cstheme="minorHAnsi"/>
          <w:i/>
          <w:color w:val="000000"/>
          <w:sz w:val="24"/>
          <w:szCs w:val="24"/>
          <w:lang w:eastAsia="bg-BG"/>
        </w:rPr>
        <w:t xml:space="preserve"> при извършване на проверка могат да изискват от магистър-фармацевта представяне на Европейска професионална карта.</w:t>
      </w:r>
    </w:p>
    <w:p w14:paraId="5A87D9D7" w14:textId="77777777" w:rsidR="00676184" w:rsidRPr="00AE6CBE" w:rsidRDefault="00676184" w:rsidP="007105C9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bg-BG"/>
        </w:rPr>
      </w:pPr>
    </w:p>
    <w:p w14:paraId="28BD06A5" w14:textId="77777777" w:rsidR="003721BB" w:rsidRPr="00AE6CBE" w:rsidRDefault="003721BB" w:rsidP="007105C9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AE6CBE">
        <w:rPr>
          <w:rFonts w:cstheme="minorHAnsi"/>
          <w:sz w:val="24"/>
          <w:szCs w:val="24"/>
        </w:rPr>
        <w:t>Началото на една проверка започва с връчването на заповед за проверка, като в Условия и ред е описано как става това и самата проверка НЕ трябва да затруднява извършването на дейността на аптеката. В този смисъл не сте длъжни да се отзовавате на телефонни привиквания в РЗОК. Когато става дума за контрол и проверки НЕ комуникирайте с РЗОК по телефона!</w:t>
      </w:r>
    </w:p>
    <w:p w14:paraId="76B4A3E2" w14:textId="77777777" w:rsidR="000A18E6" w:rsidRPr="00AE6CBE" w:rsidRDefault="003721BB" w:rsidP="007105C9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AE6CBE">
        <w:rPr>
          <w:rFonts w:cstheme="minorHAnsi"/>
          <w:sz w:val="24"/>
          <w:szCs w:val="24"/>
        </w:rPr>
        <w:t>Никъде в Условия и ред НЕ е описано правото на РЗОК да изисква обяснения, още по малко „Становище на ръководителя на аптеката за начина на отпускане и съответно получаване на отпуснатите продукти за всяко ЗОЛ“. Всичко, касаещо изпълнението на едно предписание, веднъж е подадено и електронно подписано от фармацевта в НЗИС</w:t>
      </w:r>
      <w:r w:rsidR="00524970" w:rsidRPr="00AE6CBE">
        <w:rPr>
          <w:rFonts w:cstheme="minorHAnsi"/>
          <w:sz w:val="24"/>
          <w:szCs w:val="24"/>
        </w:rPr>
        <w:t xml:space="preserve"> и</w:t>
      </w:r>
      <w:r w:rsidRPr="00AE6CBE">
        <w:rPr>
          <w:rFonts w:cstheme="minorHAnsi"/>
          <w:sz w:val="24"/>
          <w:szCs w:val="24"/>
        </w:rPr>
        <w:t xml:space="preserve"> втори път е подадено към НЗОК</w:t>
      </w:r>
      <w:r w:rsidR="00524970" w:rsidRPr="00AE6CBE">
        <w:rPr>
          <w:rFonts w:cstheme="minorHAnsi"/>
          <w:sz w:val="24"/>
          <w:szCs w:val="24"/>
        </w:rPr>
        <w:t xml:space="preserve"> и електронно подписано от ръководителя на аптеката</w:t>
      </w:r>
      <w:r w:rsidRPr="00AE6CBE">
        <w:rPr>
          <w:rFonts w:cstheme="minorHAnsi"/>
          <w:sz w:val="24"/>
          <w:szCs w:val="24"/>
        </w:rPr>
        <w:t xml:space="preserve"> с отчета </w:t>
      </w:r>
      <w:r w:rsidR="00524970" w:rsidRPr="00AE6CBE">
        <w:rPr>
          <w:rFonts w:cstheme="minorHAnsi"/>
          <w:sz w:val="24"/>
          <w:szCs w:val="24"/>
        </w:rPr>
        <w:t xml:space="preserve">към касата. Няма причина, смисъл и основание касата да го иска още веднъж за трети път от аптеката, при условие, че </w:t>
      </w:r>
      <w:r w:rsidR="00524970" w:rsidRPr="00AE6CBE">
        <w:rPr>
          <w:rFonts w:cstheme="minorHAnsi"/>
          <w:sz w:val="24"/>
          <w:szCs w:val="24"/>
        </w:rPr>
        <w:lastRenderedPageBreak/>
        <w:t>има достъп до тази информация. Обратното е административен произвол и безпричинно натоварване на аптеките!</w:t>
      </w:r>
    </w:p>
    <w:p w14:paraId="0AFFFAEF" w14:textId="77777777" w:rsidR="00524970" w:rsidRDefault="00524970" w:rsidP="007105C9">
      <w:pPr>
        <w:jc w:val="both"/>
        <w:rPr>
          <w:rFonts w:cstheme="minorHAnsi"/>
          <w:sz w:val="24"/>
          <w:szCs w:val="24"/>
        </w:rPr>
      </w:pPr>
      <w:r w:rsidRPr="00AE6CBE">
        <w:rPr>
          <w:rFonts w:cstheme="minorHAnsi"/>
          <w:sz w:val="24"/>
          <w:szCs w:val="24"/>
        </w:rPr>
        <w:t xml:space="preserve">Всяка аптека, която е получила ЗАПОВЕД за проверка и са й искани „Становище по начина на отпускане и съответно получаване“ или някакви други „задължителни“ обяснения, </w:t>
      </w:r>
      <w:r w:rsidR="00AE6CBE" w:rsidRPr="00AE6CBE">
        <w:rPr>
          <w:rFonts w:cstheme="minorHAnsi"/>
          <w:sz w:val="24"/>
          <w:szCs w:val="24"/>
        </w:rPr>
        <w:t xml:space="preserve">АКО ЖЕЛАЕ, нека </w:t>
      </w:r>
      <w:r w:rsidRPr="00AE6CBE">
        <w:rPr>
          <w:rFonts w:cstheme="minorHAnsi"/>
          <w:sz w:val="24"/>
          <w:szCs w:val="24"/>
        </w:rPr>
        <w:t xml:space="preserve">да пише на </w:t>
      </w:r>
      <w:hyperlink r:id="rId16" w:history="1">
        <w:r w:rsidRPr="00AE6CBE">
          <w:rPr>
            <w:rStyle w:val="Hyperlink"/>
            <w:rFonts w:cstheme="minorHAnsi"/>
            <w:sz w:val="24"/>
            <w:szCs w:val="24"/>
            <w:lang w:val="en-US"/>
          </w:rPr>
          <w:t>office@bphu.bg</w:t>
        </w:r>
      </w:hyperlink>
      <w:r w:rsidRPr="00AE6CBE">
        <w:rPr>
          <w:rFonts w:cstheme="minorHAnsi"/>
          <w:sz w:val="24"/>
          <w:szCs w:val="24"/>
        </w:rPr>
        <w:t>, като приложи съответните документи</w:t>
      </w:r>
      <w:r w:rsidR="00AE6CBE" w:rsidRPr="00AE6CBE">
        <w:rPr>
          <w:rFonts w:cstheme="minorHAnsi"/>
          <w:sz w:val="24"/>
          <w:szCs w:val="24"/>
        </w:rPr>
        <w:t>.</w:t>
      </w:r>
    </w:p>
    <w:p w14:paraId="194A509C" w14:textId="77777777" w:rsidR="00AE6CBE" w:rsidRDefault="00AE6CBE" w:rsidP="007105C9">
      <w:pPr>
        <w:jc w:val="both"/>
        <w:rPr>
          <w:rFonts w:cstheme="minorHAnsi"/>
          <w:sz w:val="24"/>
          <w:szCs w:val="24"/>
        </w:rPr>
      </w:pPr>
    </w:p>
    <w:p w14:paraId="31074EB3" w14:textId="6C46373E" w:rsidR="002766F7" w:rsidRDefault="002766F7" w:rsidP="007105C9">
      <w:pPr>
        <w:jc w:val="both"/>
        <w:rPr>
          <w:rFonts w:cstheme="minorHAnsi"/>
          <w:sz w:val="24"/>
          <w:szCs w:val="24"/>
        </w:rPr>
      </w:pPr>
    </w:p>
    <w:p w14:paraId="53032379" w14:textId="1D2F0CB5" w:rsidR="00AE6CBE" w:rsidRDefault="00AE6CBE" w:rsidP="007105C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маг.-фарм. Димитър Маринов</w:t>
      </w:r>
    </w:p>
    <w:p w14:paraId="3A74B8A4" w14:textId="77777777" w:rsidR="00AE6CBE" w:rsidRPr="00AE6CBE" w:rsidRDefault="00AE6CBE" w:rsidP="007105C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Председател на УС на БФС</w:t>
      </w:r>
    </w:p>
    <w:sectPr w:rsidR="00AE6CBE" w:rsidRPr="00AE6CBE">
      <w:head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2AE99" w14:textId="77777777" w:rsidR="00B341C4" w:rsidRDefault="00B341C4" w:rsidP="002766F7">
      <w:pPr>
        <w:spacing w:after="0" w:line="240" w:lineRule="auto"/>
      </w:pPr>
      <w:r>
        <w:separator/>
      </w:r>
    </w:p>
  </w:endnote>
  <w:endnote w:type="continuationSeparator" w:id="0">
    <w:p w14:paraId="4740CEE5" w14:textId="77777777" w:rsidR="00B341C4" w:rsidRDefault="00B341C4" w:rsidP="00276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6F982" w14:textId="77777777" w:rsidR="00B341C4" w:rsidRDefault="00B341C4" w:rsidP="002766F7">
      <w:pPr>
        <w:spacing w:after="0" w:line="240" w:lineRule="auto"/>
      </w:pPr>
      <w:r>
        <w:separator/>
      </w:r>
    </w:p>
  </w:footnote>
  <w:footnote w:type="continuationSeparator" w:id="0">
    <w:p w14:paraId="28FD18F0" w14:textId="77777777" w:rsidR="00B341C4" w:rsidRDefault="00B341C4" w:rsidP="002766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4D747" w14:textId="42AACE6D" w:rsidR="002766F7" w:rsidRDefault="002766F7">
    <w:pPr>
      <w:pStyle w:val="Header"/>
    </w:pPr>
    <w:r>
      <w:rPr>
        <w:noProof/>
      </w:rPr>
      <w:drawing>
        <wp:inline distT="0" distB="0" distL="0" distR="0" wp14:anchorId="2DBDF2A2" wp14:editId="5DC8F52B">
          <wp:extent cx="5760720" cy="774334"/>
          <wp:effectExtent l="0" t="0" r="0" b="698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743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346D70"/>
    <w:multiLevelType w:val="hybridMultilevel"/>
    <w:tmpl w:val="70B069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150558"/>
    <w:multiLevelType w:val="hybridMultilevel"/>
    <w:tmpl w:val="6B54CBE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958021">
    <w:abstractNumId w:val="0"/>
  </w:num>
  <w:num w:numId="2" w16cid:durableId="33117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7C2"/>
    <w:rsid w:val="000A18E6"/>
    <w:rsid w:val="002766F7"/>
    <w:rsid w:val="003721BB"/>
    <w:rsid w:val="003C1498"/>
    <w:rsid w:val="004B69B5"/>
    <w:rsid w:val="00524970"/>
    <w:rsid w:val="005857C2"/>
    <w:rsid w:val="00676184"/>
    <w:rsid w:val="007105C9"/>
    <w:rsid w:val="009F4F70"/>
    <w:rsid w:val="00A26C87"/>
    <w:rsid w:val="00AE6CBE"/>
    <w:rsid w:val="00B341C4"/>
    <w:rsid w:val="00E6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BFA07"/>
  <w15:chartTrackingRefBased/>
  <w15:docId w15:val="{F7432C23-7C95-4CA9-BDAE-0ACA8C2A0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1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497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66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6F7"/>
  </w:style>
  <w:style w:type="paragraph" w:styleId="Footer">
    <w:name w:val="footer"/>
    <w:basedOn w:val="Normal"/>
    <w:link w:val="FooterChar"/>
    <w:uiPriority w:val="99"/>
    <w:unhideWhenUsed/>
    <w:rsid w:val="002766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6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Base=NARH&amp;DocCode=109432&amp;ToPar=Art41_Al1&amp;Type=201/" TargetMode="External"/><Relationship Id="rId13" Type="http://schemas.openxmlformats.org/officeDocument/2006/relationships/hyperlink" Target="apis://Base=NARH&amp;DocCode=109432&amp;ToPar=Art41_Al1&amp;Type=201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pis://Base=NARH&amp;DocCode=4667&amp;ToPar=Art45_Al17&amp;Type=201" TargetMode="External"/><Relationship Id="rId12" Type="http://schemas.openxmlformats.org/officeDocument/2006/relationships/hyperlink" Target="apis://Base=NARH&amp;DocCode=109432&amp;ToPar=Art41&amp;Type=201/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office@bphu.b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apis://Base=NARH&amp;DocCode=109432&amp;ToPar=Art41&amp;Type=201/" TargetMode="External"/><Relationship Id="rId5" Type="http://schemas.openxmlformats.org/officeDocument/2006/relationships/footnotes" Target="footnotes.xml"/><Relationship Id="rId15" Type="http://schemas.openxmlformats.org/officeDocument/2006/relationships/hyperlink" Target="apis://Base=NARH&amp;DocCode=109432&amp;ToPar=Art41_Al1&amp;Type=201/" TargetMode="External"/><Relationship Id="rId10" Type="http://schemas.openxmlformats.org/officeDocument/2006/relationships/hyperlink" Target="apis://Base=NARH&amp;DocCode=4667&amp;ToPar=Art45_Al17_Pt4&#1073;&amp;Type=201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apis://Base=NARH&amp;DocCode=109432&amp;ToPar=Art24_Al1_Pt1&amp;Type=201/" TargetMode="External"/><Relationship Id="rId14" Type="http://schemas.openxmlformats.org/officeDocument/2006/relationships/hyperlink" Target="apis://Base=NARH&amp;DocCode=109432&amp;ToPar=Art41_Al1&amp;Type=201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DMarinov</dc:creator>
  <cp:keywords/>
  <dc:description/>
  <cp:lastModifiedBy>Anna Georgieva</cp:lastModifiedBy>
  <cp:revision>4</cp:revision>
  <dcterms:created xsi:type="dcterms:W3CDTF">2025-11-19T12:25:00Z</dcterms:created>
  <dcterms:modified xsi:type="dcterms:W3CDTF">2025-11-19T12:32:00Z</dcterms:modified>
</cp:coreProperties>
</file>